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C47" w:rsidRPr="00CE4C47" w:rsidRDefault="00CE4C47" w:rsidP="00CE4C47">
      <w:pPr>
        <w:jc w:val="both"/>
        <w:rPr>
          <w:rStyle w:val="nfasissutil"/>
          <w:rFonts w:cstheme="minorHAnsi"/>
          <w:b/>
          <w:i w:val="0"/>
          <w:sz w:val="24"/>
          <w:szCs w:val="24"/>
          <w:lang w:eastAsia="es-CO"/>
        </w:rPr>
      </w:pPr>
      <w:r w:rsidRPr="00CE4C47">
        <w:rPr>
          <w:rStyle w:val="nfasissutil"/>
          <w:rFonts w:cstheme="minorHAnsi"/>
          <w:b/>
          <w:i w:val="0"/>
          <w:sz w:val="24"/>
          <w:szCs w:val="24"/>
          <w:lang w:eastAsia="es-CO"/>
        </w:rPr>
        <w:t>ESTRATEGIA DE FORMACIÓN PARA LA TRANSVERSALIZACIÓN DE ENFOQUES DIFERENCIALES EN EL EQUIPO TERRITORIAL – UPME</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1. Presentación y justificación</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La planeación minero-energética en Colombia se desarrolla en un contexto territorial caracterizado por profundas desigualdades sociales, económicas, culturales y ambientales. Estas desigualdades se reflejan tanto en el acceso a servicios energéticos como en la distribución de los impactos derivados de las actividades mineras, de hidrocarburos y de generación y transmisión de energía.</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En particular, territorios con presencia de comunidades indígenas, afrodescendientes y campesinas concentran una parte significativa de los proyectos y dinámicas del sector minero-energético. En estos contextos, las actividades asociadas al sector no solo inciden en el acceso a servicios, sino también en:</w:t>
      </w:r>
    </w:p>
    <w:p w:rsidR="00CE4C47" w:rsidRPr="00CE4C47" w:rsidRDefault="00CE4C47" w:rsidP="00CE4C47">
      <w:pPr>
        <w:pStyle w:val="Prrafodelista"/>
        <w:numPr>
          <w:ilvl w:val="0"/>
          <w:numId w:val="13"/>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el uso y control del territorio </w:t>
      </w:r>
    </w:p>
    <w:p w:rsidR="00CE4C47" w:rsidRPr="00CE4C47" w:rsidRDefault="00CE4C47" w:rsidP="00CE4C47">
      <w:pPr>
        <w:pStyle w:val="Prrafodelista"/>
        <w:numPr>
          <w:ilvl w:val="0"/>
          <w:numId w:val="13"/>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el acceso a recursos naturales </w:t>
      </w:r>
    </w:p>
    <w:p w:rsidR="00CE4C47" w:rsidRPr="00CE4C47" w:rsidRDefault="00CE4C47" w:rsidP="00CE4C47">
      <w:pPr>
        <w:pStyle w:val="Prrafodelista"/>
        <w:numPr>
          <w:ilvl w:val="0"/>
          <w:numId w:val="13"/>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los medios de vida </w:t>
      </w:r>
    </w:p>
    <w:p w:rsidR="00CE4C47" w:rsidRPr="00CE4C47" w:rsidRDefault="00CE4C47" w:rsidP="00CE4C47">
      <w:pPr>
        <w:pStyle w:val="Prrafodelista"/>
        <w:numPr>
          <w:ilvl w:val="0"/>
          <w:numId w:val="13"/>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las dinámicas culturales y organizativas </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De acuerdo con información del Departame</w:t>
      </w:r>
      <w:bookmarkStart w:id="0" w:name="_GoBack"/>
      <w:bookmarkEnd w:id="0"/>
      <w:r w:rsidRPr="00CE4C47">
        <w:rPr>
          <w:rStyle w:val="nfasissutil"/>
          <w:rFonts w:cstheme="minorHAnsi"/>
          <w:i w:val="0"/>
          <w:sz w:val="24"/>
          <w:szCs w:val="24"/>
          <w:lang w:eastAsia="es-CO"/>
        </w:rPr>
        <w:t>nto Administrativo Nacional de Estadística (DANE) y del Departamento Nacional de Planeación (DNP), las zonas rurales y los territorios colectivos presentan mayores niveles de pobreza multidimensional y menor acceso a servicios básicos, lo cual se superpone con áreas de interés para el desarrollo de proyectos minero-energéticos.</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En este escenario, los impactos del sector no son homogéneos. Comunidades indígenas, afrodescendientes y campesinas pueden experimentar afectaciones diferenciadas asociadas a:</w:t>
      </w:r>
    </w:p>
    <w:p w:rsidR="00CE4C47" w:rsidRPr="00CE4C47" w:rsidRDefault="00CE4C47" w:rsidP="00CE4C47">
      <w:pPr>
        <w:pStyle w:val="Prrafodelista"/>
        <w:numPr>
          <w:ilvl w:val="0"/>
          <w:numId w:val="14"/>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transformaciones en el uso del suelo </w:t>
      </w:r>
    </w:p>
    <w:p w:rsidR="00CE4C47" w:rsidRPr="00CE4C47" w:rsidRDefault="00CE4C47" w:rsidP="00CE4C47">
      <w:pPr>
        <w:pStyle w:val="Prrafodelista"/>
        <w:numPr>
          <w:ilvl w:val="0"/>
          <w:numId w:val="14"/>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presión sobre recursos hídricos </w:t>
      </w:r>
    </w:p>
    <w:p w:rsidR="00CE4C47" w:rsidRPr="00CE4C47" w:rsidRDefault="00CE4C47" w:rsidP="00CE4C47">
      <w:pPr>
        <w:pStyle w:val="Prrafodelista"/>
        <w:numPr>
          <w:ilvl w:val="0"/>
          <w:numId w:val="14"/>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cambios en economías locales </w:t>
      </w:r>
    </w:p>
    <w:p w:rsidR="00CE4C47" w:rsidRPr="00CE4C47" w:rsidRDefault="00CE4C47" w:rsidP="00CE4C47">
      <w:pPr>
        <w:pStyle w:val="Prrafodelista"/>
        <w:numPr>
          <w:ilvl w:val="0"/>
          <w:numId w:val="14"/>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riesgos de desplazamiento </w:t>
      </w:r>
    </w:p>
    <w:p w:rsidR="00CE4C47" w:rsidRPr="00CE4C47" w:rsidRDefault="00CE4C47" w:rsidP="00CE4C47">
      <w:pPr>
        <w:pStyle w:val="Prrafodelista"/>
        <w:numPr>
          <w:ilvl w:val="0"/>
          <w:numId w:val="14"/>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afectaciones a prácticas culturales </w:t>
      </w:r>
    </w:p>
    <w:p w:rsidR="00CE4C47" w:rsidRPr="00CE4C47" w:rsidRDefault="00CE4C47" w:rsidP="00CE4C47">
      <w:pPr>
        <w:pStyle w:val="Prrafodelista"/>
        <w:numPr>
          <w:ilvl w:val="0"/>
          <w:numId w:val="14"/>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sobrecarga del trabajo de cuidado </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En el caso de la Unidad de Planeación Minero-Energética (UPME), como entidad técnica encargada de la planeación del sector, su rol no consiste en la ejecución de proyectos ni en la gestión directa de impactos, sino en la producción de información, análisis y estudios que orientan la toma de decisiones.</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No obstante, la incorporación de enfoques diferenciales en estos análisis enfrenta barreras institucionales relacionadas con la falta de herramientas metodológicas, la dificultad de </w:t>
      </w:r>
      <w:r w:rsidRPr="00CE4C47">
        <w:rPr>
          <w:rStyle w:val="nfasissutil"/>
          <w:rFonts w:cstheme="minorHAnsi"/>
          <w:i w:val="0"/>
          <w:sz w:val="24"/>
          <w:szCs w:val="24"/>
          <w:lang w:eastAsia="es-CO"/>
        </w:rPr>
        <w:lastRenderedPageBreak/>
        <w:t>traducir los enfoques en variables técnicas y la persistencia de enfoques sectoriales centrados exclusivamente en variables técnicas o económicas.</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En este contexto, la presente estrategia se concibe como un proceso de formación aplicada orientado a fortalecer las capacidades del equipo territorial de la UPME para incorporar de manera efectiva, sistemática y verificable los enfoques diferenciales en la planeación minero-energética.</w:t>
      </w:r>
    </w:p>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La presente estrategia permite fortalecer la incorporación de enfoques diferenciales en la planeación minero-energética, asegurando que los análisis desarrollados por la UPME reconozcan las particularidades territoriales, sociales y culturales de las comunidades indígenas, afrodescendientes y campesinas, así como los posibles impactos asociados a las actividades del sector, sin exceder las competencias institucionales de la entidad.</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2. Alcance</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La estrategia tiene carácter interno y está dirigida al equipo territorial de la UPME. Se orienta al fortalecimiento de capacidades para la incorporación de enfoques diferenciales en productos técnicos relacionados con:</w:t>
      </w:r>
    </w:p>
    <w:p w:rsidR="00CE4C47" w:rsidRPr="00CE4C47" w:rsidRDefault="00CE4C47" w:rsidP="00CE4C47">
      <w:pPr>
        <w:pStyle w:val="Prrafodelista"/>
        <w:numPr>
          <w:ilvl w:val="0"/>
          <w:numId w:val="15"/>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planeación energética </w:t>
      </w:r>
    </w:p>
    <w:p w:rsidR="00CE4C47" w:rsidRPr="00CE4C47" w:rsidRDefault="00CE4C47" w:rsidP="00CE4C47">
      <w:pPr>
        <w:pStyle w:val="Prrafodelista"/>
        <w:numPr>
          <w:ilvl w:val="0"/>
          <w:numId w:val="15"/>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planeación minera </w:t>
      </w:r>
    </w:p>
    <w:p w:rsidR="00CE4C47" w:rsidRPr="00CE4C47" w:rsidRDefault="00CE4C47" w:rsidP="00CE4C47">
      <w:pPr>
        <w:pStyle w:val="Prrafodelista"/>
        <w:numPr>
          <w:ilvl w:val="0"/>
          <w:numId w:val="15"/>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análisis de hidrocarburos </w:t>
      </w:r>
    </w:p>
    <w:p w:rsidR="00CE4C47" w:rsidRPr="00CE4C47" w:rsidRDefault="00CE4C47" w:rsidP="00CE4C47">
      <w:pPr>
        <w:pStyle w:val="Prrafodelista"/>
        <w:numPr>
          <w:ilvl w:val="0"/>
          <w:numId w:val="15"/>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estudios territoriales del sector minero-energético </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No contempla la ejecución de proyectos, la implementación de procesos de consulta previa ni la gestión directa de impactos sociales o ambientales. Sin embargo, establece lineamientos para que estos elementos sean incorporados como variables de análisis técnico.</w:t>
      </w:r>
    </w:p>
    <w:p w:rsidR="00CE4C47" w:rsidRPr="00CE4C47" w:rsidRDefault="00CE4C47" w:rsidP="00CE4C47">
      <w:pPr>
        <w:jc w:val="both"/>
        <w:rPr>
          <w:rStyle w:val="nfasissutil"/>
          <w:rFonts w:cstheme="minorHAnsi"/>
          <w:i w:val="0"/>
          <w:sz w:val="24"/>
          <w:szCs w:val="24"/>
          <w:lang w:eastAsia="es-CO"/>
        </w:rPr>
      </w:pP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3. Objetivo general</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Fortalecer las capacidades técnicas del equipo territorial de la UPME para la incorporación efectiva, sistemática y verificable de enfoques diferenciales en los análisis territoriales y productos técnicos del sector energético.</w:t>
      </w:r>
    </w:p>
    <w:p w:rsidR="00CE4C47" w:rsidRPr="00CE4C47" w:rsidRDefault="00CE4C47" w:rsidP="00CE4C47">
      <w:pPr>
        <w:jc w:val="both"/>
        <w:rPr>
          <w:rStyle w:val="nfasissutil"/>
          <w:rFonts w:cstheme="minorHAnsi"/>
          <w:i w:val="0"/>
          <w:sz w:val="24"/>
          <w:szCs w:val="24"/>
          <w:lang w:eastAsia="es-CO"/>
        </w:rPr>
      </w:pP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4. Objetivos específicos</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Desarrollar capacidades conceptuales en enfoques diferenciales </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Aplicar herramientas metodológicas en productos reales </w:t>
      </w:r>
    </w:p>
    <w:p w:rsidR="00CE4C47" w:rsidRPr="00CE4C47" w:rsidRDefault="00CE4C47" w:rsidP="00CE4C47">
      <w:pPr>
        <w:pStyle w:val="Prrafodelista"/>
        <w:numPr>
          <w:ilvl w:val="0"/>
          <w:numId w:val="16"/>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Incorporar variables sociales, territoriales y culturales en los análisis </w:t>
      </w:r>
    </w:p>
    <w:p w:rsidR="00CE4C47" w:rsidRPr="00CE4C47" w:rsidRDefault="00CE4C47" w:rsidP="00CE4C47">
      <w:pPr>
        <w:pStyle w:val="Prrafodelista"/>
        <w:numPr>
          <w:ilvl w:val="0"/>
          <w:numId w:val="16"/>
        </w:numPr>
        <w:jc w:val="both"/>
        <w:rPr>
          <w:rStyle w:val="nfasissutil"/>
          <w:rFonts w:cstheme="minorHAnsi"/>
          <w:i w:val="0"/>
          <w:sz w:val="24"/>
          <w:szCs w:val="24"/>
          <w:lang w:eastAsia="es-CO"/>
        </w:rPr>
      </w:pPr>
      <w:r w:rsidRPr="00CE4C47">
        <w:rPr>
          <w:rStyle w:val="nfasissutil"/>
          <w:rFonts w:cstheme="minorHAnsi"/>
          <w:i w:val="0"/>
          <w:sz w:val="24"/>
          <w:szCs w:val="24"/>
          <w:lang w:eastAsia="es-CO"/>
        </w:rPr>
        <w:lastRenderedPageBreak/>
        <w:t xml:space="preserve">Identificar brechas en acceso a energía </w:t>
      </w:r>
    </w:p>
    <w:p w:rsidR="00CE4C47" w:rsidRPr="00CE4C47" w:rsidRDefault="00CE4C47" w:rsidP="00CE4C47">
      <w:pPr>
        <w:pStyle w:val="Prrafodelista"/>
        <w:numPr>
          <w:ilvl w:val="0"/>
          <w:numId w:val="16"/>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Reconocer la presencia y características de comunidades indígenas, afrodescendientes y campesinas </w:t>
      </w:r>
    </w:p>
    <w:p w:rsidR="00CE4C47" w:rsidRPr="00CE4C47" w:rsidRDefault="00CE4C47" w:rsidP="00CE4C47">
      <w:pPr>
        <w:pStyle w:val="Prrafodelista"/>
        <w:numPr>
          <w:ilvl w:val="0"/>
          <w:numId w:val="16"/>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Identificar impactos diferenciados asociados al desarrollo energético </w:t>
      </w:r>
    </w:p>
    <w:p w:rsidR="00CE4C47" w:rsidRPr="00CE4C47" w:rsidRDefault="00CE4C47" w:rsidP="00CE4C47">
      <w:pPr>
        <w:pStyle w:val="Prrafodelista"/>
        <w:numPr>
          <w:ilvl w:val="0"/>
          <w:numId w:val="16"/>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Generar evidencia verificable de aplicación </w:t>
      </w:r>
    </w:p>
    <w:p w:rsidR="00CE4C47" w:rsidRPr="00CE4C47" w:rsidRDefault="00CE4C47" w:rsidP="00CE4C47">
      <w:pPr>
        <w:pStyle w:val="Prrafodelista"/>
        <w:numPr>
          <w:ilvl w:val="0"/>
          <w:numId w:val="16"/>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Identificar barreras institucionales </w:t>
      </w:r>
    </w:p>
    <w:p w:rsidR="00CE4C47" w:rsidRPr="00CE4C47" w:rsidRDefault="00CE4C47" w:rsidP="00CE4C47">
      <w:pPr>
        <w:jc w:val="both"/>
        <w:rPr>
          <w:rStyle w:val="nfasissutil"/>
          <w:rFonts w:cstheme="minorHAnsi"/>
          <w:i w:val="0"/>
          <w:sz w:val="24"/>
          <w:szCs w:val="24"/>
          <w:lang w:eastAsia="es-CO"/>
        </w:rPr>
      </w:pP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5. Marco conceptual</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Los enfoques diferenciales permiten reconocer que las condiciones de acceso a los servicios </w:t>
      </w:r>
      <w:r w:rsidRPr="00CE4C47">
        <w:rPr>
          <w:rStyle w:val="nfasissutil"/>
          <w:rFonts w:cstheme="minorHAnsi"/>
          <w:i w:val="0"/>
          <w:sz w:val="24"/>
          <w:szCs w:val="24"/>
        </w:rPr>
        <w:t>en el sector minero-energético</w:t>
      </w:r>
      <w:r w:rsidRPr="00CE4C47">
        <w:rPr>
          <w:rStyle w:val="nfasissutil"/>
          <w:rFonts w:cstheme="minorHAnsi"/>
          <w:i w:val="0"/>
          <w:sz w:val="24"/>
          <w:szCs w:val="24"/>
          <w:lang w:eastAsia="es-CO"/>
        </w:rPr>
        <w:t>, así como los impactos derivados de su desarrollo, no son homogéneos y dependen de factores sociales, culturales y territoriales.</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El enfoque de género permite analizar las desigualdades en la distribución de roles, particularmente en relación con el trabajo de cuidado, el uso del tiempo y el acceso a recursos, elementos que inciden directamente e</w:t>
      </w:r>
      <w:r w:rsidRPr="00CE4C47">
        <w:rPr>
          <w:rStyle w:val="nfasissutil"/>
          <w:rFonts w:cstheme="minorHAnsi"/>
          <w:i w:val="0"/>
          <w:sz w:val="24"/>
          <w:szCs w:val="24"/>
        </w:rPr>
        <w:t xml:space="preserve">n el acceso y uso de la energía y como </w:t>
      </w:r>
      <w:r w:rsidRPr="00CE4C47">
        <w:rPr>
          <w:rStyle w:val="nfasissutil"/>
          <w:rFonts w:cstheme="minorHAnsi"/>
          <w:i w:val="0"/>
          <w:sz w:val="24"/>
          <w:szCs w:val="24"/>
          <w:lang w:eastAsia="es-CO"/>
        </w:rPr>
        <w:t>las actividades de exploración, explotación, generación, transporte y uso de recursos energéticos y minerales afectan de manera diferenciada a las poblaciones.</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El enfoque étnico-territorial reconoce a los pueblos indígenas, comunidades afrodescendientes y poblaciones campesinas como sujetos colectivos con derechos territoriales, culturales y de participación. Este enfoque implica considerar sus formas de relación con el territorio, su dependencia de los recursos naturales y las posibles afectaciones diferenciadas derivadas de intervenciones en el sector </w:t>
      </w:r>
      <w:r w:rsidRPr="00CE4C47">
        <w:rPr>
          <w:rStyle w:val="nfasissutil"/>
          <w:rFonts w:cstheme="minorHAnsi"/>
          <w:i w:val="0"/>
          <w:sz w:val="24"/>
          <w:szCs w:val="24"/>
        </w:rPr>
        <w:t>minero-</w:t>
      </w:r>
      <w:r w:rsidRPr="00CE4C47">
        <w:rPr>
          <w:rStyle w:val="nfasissutil"/>
          <w:rFonts w:cstheme="minorHAnsi"/>
          <w:i w:val="0"/>
          <w:sz w:val="24"/>
          <w:szCs w:val="24"/>
          <w:lang w:eastAsia="es-CO"/>
        </w:rPr>
        <w:t>energético.</w:t>
      </w:r>
    </w:p>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lang w:eastAsia="es-CO"/>
        </w:rPr>
        <w:t>El enfoque territorial, por su parte, permite comprender las dinámicas locales, las condiciones de acceso a servicios, la infraestructura disponible y las características socioeconómicas de los territorios.</w:t>
      </w:r>
    </w:p>
    <w:p w:rsidR="00CE4C47" w:rsidRPr="00CE4C47" w:rsidRDefault="00CE4C47" w:rsidP="00CE4C47">
      <w:pPr>
        <w:jc w:val="both"/>
        <w:rPr>
          <w:rStyle w:val="nfasissutil"/>
          <w:rFonts w:cstheme="minorHAnsi"/>
          <w:i w:val="0"/>
          <w:sz w:val="24"/>
          <w:szCs w:val="24"/>
          <w:lang w:eastAsia="es-CO"/>
        </w:rPr>
      </w:pP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6. Marco normativo</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La incorporación de enfoques diferenciales en la planeación energética se fundamenta en un conjunto de disposiciones constitucionales, legales e internacionales que establecen la obligación del Estado colombiano de reconocer la diversidad, garantizar la igualdad material y asegurar la participación de las comunidades en las decisiones que las afectan.</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La Constitución Política de Colombia establece, en su artículo 1, que el país se organiza como un Estado social de derecho fundado en la dignidad humana, la participación y la prevalencia del interés general. Este principio implica que las decisiones públicas, incluyendo aquellas relacionadas con la planeación energética, deben considerar las condiciones reales de la población y no limitarse a criterios estrictamente técnicos.</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lastRenderedPageBreak/>
        <w:t>En concordancia, el artículo 2 define como fines esenciales del Estado garantizar la efectividad de los derechos y facilitar la participación de todos en las decisiones que los afectan, lo cual refuerza la necesidad de incorporar variables sociales en los procesos de análisis y planificación.</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El artículo 7 reconoce y protege la diversidad étnica y cultural de la Nación colombiana, mientras que el artículo 13 establece la obligación de promover condiciones para que la igualdad sea real y efectiva, mediante la adopción de medidas en favor de grupos discriminados o marginados. Estos mandatos son particularmente relevantes en territorios donde habitan comunidades indígenas, afrodescendientes y campesinas, históricamente afectadas por desigualdades estructurales.</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Adicionalmente, el artículo 330 dispone que la explotación de los recursos naturales en territorios indígenas debe realizarse sin afectar la integridad cultural, social y económica de las comunidades, y que se debe garantizar su participación en las decisiones que las afecten.</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En desarrollo de estos principios, la Ley 21 de 1991 incorpora al ordenamiento jurídico colombiano el Convenio 169 de la Organización Internacional del Trabajo (OIT), el cual reconoce el derecho de los pueblos indígenas y tribales a ser consultados de manera previa, libre e informada frente a medidas susceptibles de afectarlos directamente. El Convenio, en sus artículos 6 y 7, establece la obligación de consultar a estos pueblos y de garantizar su participación en la formulación, aplicación y evaluación de planes y programas de desarrollo.</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Por su parte, la Ley 70 de 1993 reconoce los derechos de las comunidades afrodescendientes, incluyendo la propiedad colectiva sobre sus territorios y su participación en decisiones relacionadas con el uso de los recursos naturales.</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La Ley 152 de 1994 (Ley Orgánica del Plan de Desarrollo) establece los principios de la planeación en Colombia, incorporando la participación ciudadana como un elemento esencial en la formulación de políticas públicas. De manera complementaria, la Ley 99 de 1993 introduce el principio de desarrollo sostenible y refuerza la necesidad de considerar variables sociales y ambientales en los procesos de planificación.</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A nivel internacional, instrumentos como el Convenio 169 de la OIT, la Agenda 2030 para el Desarrollo Sostenible y el Acuerdo de París refuerzan la necesidad de avanzar hacia modelos de desarrollo que integren dimensiones sociales, ambientales y económicas, y que reconozcan la importancia de una transición energética justa.</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En este contexto, es importante precisar que la UPME, en su rol técnico, no es responsable de la implementación de mecanismos como la consulta previa ni de la gestión directa de impactos sociales. Sin embargo, sí tiene la responsabilidad de incorporar estas variables como elementos de análisis en los estudios y productos técnicos, mediante la identificación </w:t>
      </w:r>
      <w:r w:rsidRPr="00CE4C47">
        <w:rPr>
          <w:rStyle w:val="nfasissutil"/>
          <w:rFonts w:cstheme="minorHAnsi"/>
          <w:i w:val="0"/>
          <w:sz w:val="24"/>
          <w:szCs w:val="24"/>
          <w:lang w:eastAsia="es-CO"/>
        </w:rPr>
        <w:lastRenderedPageBreak/>
        <w:t>de territorios colectivos, la caracterización de poblaciones y la generación de alertas técnicas que contribuyan a una mejor toma de decisiones sectoriales.</w:t>
      </w:r>
    </w:p>
    <w:p w:rsidR="00CE4C47" w:rsidRPr="00CE4C47" w:rsidRDefault="00CE4C47" w:rsidP="00CE4C47">
      <w:pPr>
        <w:jc w:val="both"/>
        <w:rPr>
          <w:rStyle w:val="nfasissutil"/>
          <w:rFonts w:cstheme="minorHAnsi"/>
          <w:i w:val="0"/>
          <w:sz w:val="24"/>
          <w:szCs w:val="24"/>
          <w:lang w:eastAsia="es-CO"/>
        </w:rPr>
      </w:pP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7. Metodología de formación aplicada</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La estrategia se desarrolla bajo el enfoque de aprender, aplicar y evidenciar, y se implementa en tres fases progresivas.</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Fase 1. Diagnóstico (Mes 1)</w:t>
      </w:r>
    </w:p>
    <w:p w:rsidR="00CE4C47" w:rsidRPr="00CE4C47" w:rsidRDefault="00CE4C47" w:rsidP="00CE4C47">
      <w:pPr>
        <w:pStyle w:val="Prrafodelista"/>
        <w:numPr>
          <w:ilvl w:val="0"/>
          <w:numId w:val="17"/>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Encuesta de capacidades </w:t>
      </w:r>
    </w:p>
    <w:p w:rsidR="00CE4C47" w:rsidRPr="00CE4C47" w:rsidRDefault="00CE4C47" w:rsidP="00CE4C47">
      <w:pPr>
        <w:pStyle w:val="Prrafodelista"/>
        <w:numPr>
          <w:ilvl w:val="0"/>
          <w:numId w:val="17"/>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Revisión de productos </w:t>
      </w:r>
    </w:p>
    <w:p w:rsidR="00CE4C47" w:rsidRPr="00CE4C47" w:rsidRDefault="00CE4C47" w:rsidP="00CE4C47">
      <w:pPr>
        <w:pStyle w:val="Prrafodelista"/>
        <w:numPr>
          <w:ilvl w:val="0"/>
          <w:numId w:val="17"/>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Identificación de barreras </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Fase 2. Aplicación (Meses 2–3)</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Parti</w:t>
      </w:r>
      <w:r>
        <w:rPr>
          <w:rStyle w:val="nfasissutil"/>
          <w:rFonts w:cstheme="minorHAnsi"/>
          <w:i w:val="0"/>
          <w:sz w:val="24"/>
          <w:szCs w:val="24"/>
          <w:lang w:eastAsia="es-CO"/>
        </w:rPr>
        <w:t xml:space="preserve">cipación: </w:t>
      </w:r>
      <w:r w:rsidRPr="00CE4C47">
        <w:rPr>
          <w:rStyle w:val="nfasissutil"/>
          <w:rFonts w:cstheme="minorHAnsi"/>
          <w:i w:val="0"/>
          <w:sz w:val="24"/>
          <w:szCs w:val="24"/>
          <w:lang w:eastAsia="es-CO"/>
        </w:rPr>
        <w:t>Se incorporará información proveniente de comunidades indígenas, afrodescendientes, campesinas, mujeres rurales y personas diversas en:</w:t>
      </w:r>
    </w:p>
    <w:p w:rsidR="00CE4C47" w:rsidRPr="00CE4C47" w:rsidRDefault="00CE4C47" w:rsidP="00CE4C47">
      <w:pPr>
        <w:pStyle w:val="Prrafodelista"/>
        <w:numPr>
          <w:ilvl w:val="0"/>
          <w:numId w:val="18"/>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identificación de brechas </w:t>
      </w:r>
    </w:p>
    <w:p w:rsidR="00CE4C47" w:rsidRPr="00CE4C47" w:rsidRDefault="00CE4C47" w:rsidP="00CE4C47">
      <w:pPr>
        <w:pStyle w:val="Prrafodelista"/>
        <w:numPr>
          <w:ilvl w:val="0"/>
          <w:numId w:val="18"/>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validación de análisis </w:t>
      </w:r>
    </w:p>
    <w:p w:rsidR="00CE4C47" w:rsidRPr="00CE4C47" w:rsidRDefault="00CE4C47" w:rsidP="00CE4C47">
      <w:pPr>
        <w:pStyle w:val="Prrafodelista"/>
        <w:numPr>
          <w:ilvl w:val="0"/>
          <w:numId w:val="18"/>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seguimiento </w:t>
      </w:r>
    </w:p>
    <w:p w:rsidR="00CE4C47" w:rsidRPr="00CE4C47" w:rsidRDefault="00CE4C47" w:rsidP="00CE4C47">
      <w:pPr>
        <w:pStyle w:val="Prrafodelista"/>
        <w:numPr>
          <w:ilvl w:val="0"/>
          <w:numId w:val="18"/>
        </w:numPr>
        <w:jc w:val="both"/>
        <w:rPr>
          <w:rStyle w:val="nfasissutil"/>
          <w:rFonts w:cstheme="minorHAnsi"/>
          <w:i w:val="0"/>
          <w:sz w:val="24"/>
          <w:szCs w:val="24"/>
          <w:lang w:eastAsia="es-CO"/>
        </w:rPr>
      </w:pPr>
      <w:r w:rsidRPr="00CE4C47">
        <w:rPr>
          <w:rStyle w:val="nfasissutil"/>
          <w:rFonts w:cstheme="minorHAnsi"/>
          <w:i w:val="0"/>
          <w:sz w:val="24"/>
          <w:szCs w:val="24"/>
          <w:lang w:eastAsia="es-CO"/>
        </w:rPr>
        <w:t>Consulta previa</w:t>
      </w:r>
    </w:p>
    <w:p w:rsidR="00CE4C47" w:rsidRPr="00CE4C47" w:rsidRDefault="00CE4C47" w:rsidP="00CE4C47">
      <w:pPr>
        <w:pStyle w:val="Prrafodelista"/>
        <w:numPr>
          <w:ilvl w:val="0"/>
          <w:numId w:val="18"/>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identificación de territorios colectivos </w:t>
      </w:r>
    </w:p>
    <w:p w:rsidR="00CE4C47" w:rsidRPr="00CE4C47" w:rsidRDefault="00CE4C47" w:rsidP="00CE4C47">
      <w:pPr>
        <w:pStyle w:val="Prrafodelista"/>
        <w:numPr>
          <w:ilvl w:val="0"/>
          <w:numId w:val="18"/>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inclusión como variable obligatoria </w:t>
      </w:r>
    </w:p>
    <w:p w:rsidR="00CE4C47" w:rsidRPr="00CE4C47" w:rsidRDefault="00CE4C47" w:rsidP="00CE4C47">
      <w:pPr>
        <w:pStyle w:val="Prrafodelista"/>
        <w:numPr>
          <w:ilvl w:val="0"/>
          <w:numId w:val="18"/>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generación de alertas técnicas </w:t>
      </w:r>
    </w:p>
    <w:p w:rsidR="00CE4C47" w:rsidRPr="00CE4C47" w:rsidRDefault="00CE4C47" w:rsidP="00CE4C47">
      <w:pPr>
        <w:pStyle w:val="Prrafodelista"/>
        <w:numPr>
          <w:ilvl w:val="0"/>
          <w:numId w:val="18"/>
        </w:numPr>
        <w:jc w:val="both"/>
        <w:rPr>
          <w:rStyle w:val="nfasissutil"/>
          <w:rFonts w:cstheme="minorHAnsi"/>
          <w:i w:val="0"/>
          <w:sz w:val="24"/>
          <w:szCs w:val="24"/>
          <w:lang w:eastAsia="es-CO"/>
        </w:rPr>
      </w:pPr>
      <w:r w:rsidRPr="00CE4C47">
        <w:rPr>
          <w:rStyle w:val="nfasissutil"/>
          <w:rFonts w:cstheme="minorHAnsi"/>
          <w:i w:val="0"/>
          <w:sz w:val="24"/>
          <w:szCs w:val="24"/>
          <w:lang w:eastAsia="es-CO"/>
        </w:rPr>
        <w:t>Impactos diferenciados</w:t>
      </w:r>
    </w:p>
    <w:p w:rsidR="00CE4C47" w:rsidRPr="00CE4C47" w:rsidRDefault="00CE4C47" w:rsidP="00CE4C47">
      <w:pPr>
        <w:pStyle w:val="Prrafodelista"/>
        <w:numPr>
          <w:ilvl w:val="0"/>
          <w:numId w:val="18"/>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medios de vida </w:t>
      </w:r>
    </w:p>
    <w:p w:rsidR="00CE4C47" w:rsidRPr="00CE4C47" w:rsidRDefault="00CE4C47" w:rsidP="00CE4C47">
      <w:pPr>
        <w:pStyle w:val="Prrafodelista"/>
        <w:numPr>
          <w:ilvl w:val="0"/>
          <w:numId w:val="18"/>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acceso a recursos </w:t>
      </w:r>
    </w:p>
    <w:p w:rsidR="00CE4C47" w:rsidRPr="00CE4C47" w:rsidRDefault="00CE4C47" w:rsidP="00CE4C47">
      <w:pPr>
        <w:pStyle w:val="Prrafodelista"/>
        <w:numPr>
          <w:ilvl w:val="0"/>
          <w:numId w:val="18"/>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dinámicas culturales </w:t>
      </w:r>
    </w:p>
    <w:p w:rsidR="00CE4C47" w:rsidRPr="00CE4C47" w:rsidRDefault="00CE4C47" w:rsidP="00CE4C47">
      <w:pPr>
        <w:pStyle w:val="Prrafodelista"/>
        <w:numPr>
          <w:ilvl w:val="0"/>
          <w:numId w:val="18"/>
        </w:num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carga de cuidado </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Matriz de análisis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641"/>
        <w:gridCol w:w="86"/>
        <w:gridCol w:w="101"/>
      </w:tblGrid>
      <w:tr w:rsidR="00CE4C47" w:rsidRPr="00CE4C47" w:rsidTr="00CE4C47">
        <w:trPr>
          <w:tblHeader/>
          <w:tblCellSpacing w:w="15" w:type="dxa"/>
        </w:trPr>
        <w:tc>
          <w:tcPr>
            <w:tcW w:w="0" w:type="auto"/>
            <w:vAlign w:val="center"/>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lastRenderedPageBreak/>
              <w:t>Matriz de análisis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4"/>
              <w:gridCol w:w="2649"/>
              <w:gridCol w:w="4193"/>
            </w:tblGrid>
            <w:tr w:rsidR="00CE4C47" w:rsidRPr="00CE4C47" w:rsidTr="00CE4C47">
              <w:trPr>
                <w:tblHeade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Dimensión</w:t>
                  </w:r>
                </w:p>
              </w:tc>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Variable</w:t>
                  </w:r>
                </w:p>
              </w:tc>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Pregunta orientadora</w:t>
                  </w:r>
                </w:p>
              </w:tc>
            </w:tr>
            <w:tr w:rsidR="00CE4C47" w:rsidRPr="00CE4C47" w:rsidTr="00CE4C47">
              <w:trP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Género</w:t>
                  </w:r>
                </w:p>
              </w:tc>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Trabajo de cuidado</w:t>
                  </w:r>
                </w:p>
              </w:tc>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¿Cómo inciden las actividades minero-energéticas en la carga de cuidado?</w:t>
                  </w:r>
                </w:p>
              </w:tc>
            </w:tr>
            <w:tr w:rsidR="00CE4C47" w:rsidRPr="00CE4C47" w:rsidTr="00CE4C47">
              <w:trP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Étnico-territorial</w:t>
                  </w:r>
                </w:p>
              </w:tc>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Comunidades indígenas, afro y campesinas</w:t>
                  </w:r>
                </w:p>
              </w:tc>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¿El análisis reconoce su presencia, derechos y relación con el territorio?</w:t>
                  </w:r>
                </w:p>
              </w:tc>
            </w:tr>
            <w:tr w:rsidR="00CE4C47" w:rsidRPr="00CE4C47" w:rsidTr="00CE4C47">
              <w:trP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Territorial</w:t>
                  </w:r>
                </w:p>
              </w:tc>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Uso del suelo y cobertura</w:t>
                  </w:r>
                </w:p>
              </w:tc>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¿Existen transformaciones derivadas de actividades del sector?</w:t>
                  </w:r>
                </w:p>
              </w:tc>
            </w:tr>
            <w:tr w:rsidR="00CE4C47" w:rsidRPr="00CE4C47" w:rsidTr="00CE4C47">
              <w:trP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Socioeconómica</w:t>
                  </w:r>
                </w:p>
              </w:tc>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Medios de vida</w:t>
                  </w:r>
                </w:p>
              </w:tc>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¿Cómo dependen las comunidades de los recursos del territorio?</w:t>
                  </w:r>
                </w:p>
              </w:tc>
            </w:tr>
            <w:tr w:rsidR="00CE4C47" w:rsidRPr="00CE4C47" w:rsidTr="00CE4C47">
              <w:trP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Ambiental</w:t>
                  </w:r>
                </w:p>
              </w:tc>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Recursos naturales</w:t>
                  </w:r>
                </w:p>
              </w:tc>
              <w:tc>
                <w:tcPr>
                  <w:tcW w:w="0" w:type="auto"/>
                  <w:vAlign w:val="center"/>
                  <w:hideMark/>
                </w:tcPr>
                <w:p w:rsidR="00CE4C47" w:rsidRPr="00CE4C47" w:rsidRDefault="00CE4C47" w:rsidP="00CE4C47">
                  <w:pPr>
                    <w:jc w:val="both"/>
                    <w:rPr>
                      <w:rStyle w:val="nfasissutil"/>
                      <w:rFonts w:cstheme="minorHAnsi"/>
                      <w:i w:val="0"/>
                      <w:sz w:val="24"/>
                      <w:szCs w:val="24"/>
                    </w:rPr>
                  </w:pPr>
                  <w:r w:rsidRPr="00CE4C47">
                    <w:rPr>
                      <w:rStyle w:val="nfasissutil"/>
                      <w:rFonts w:cstheme="minorHAnsi"/>
                      <w:i w:val="0"/>
                      <w:sz w:val="24"/>
                      <w:szCs w:val="24"/>
                    </w:rPr>
                    <w:t>¿Existen posibles afectaciones a agua, suelo o ecosistemas?</w:t>
                  </w:r>
                </w:p>
              </w:tc>
            </w:tr>
          </w:tbl>
          <w:p w:rsidR="00CE4C47" w:rsidRPr="00CE4C47" w:rsidRDefault="00CE4C47" w:rsidP="00CE4C47">
            <w:pPr>
              <w:jc w:val="both"/>
              <w:rPr>
                <w:rStyle w:val="nfasissutil"/>
                <w:rFonts w:cstheme="minorHAnsi"/>
                <w:i w:val="0"/>
                <w:sz w:val="24"/>
                <w:szCs w:val="24"/>
                <w:lang w:eastAsia="es-CO"/>
              </w:rPr>
            </w:pPr>
          </w:p>
        </w:tc>
        <w:tc>
          <w:tcPr>
            <w:tcW w:w="0" w:type="auto"/>
            <w:vAlign w:val="center"/>
          </w:tcPr>
          <w:p w:rsidR="00CE4C47" w:rsidRPr="00CE4C47" w:rsidRDefault="00CE4C47" w:rsidP="00CE4C47">
            <w:pPr>
              <w:jc w:val="both"/>
              <w:rPr>
                <w:rStyle w:val="nfasissutil"/>
                <w:rFonts w:cstheme="minorHAnsi"/>
                <w:i w:val="0"/>
                <w:sz w:val="24"/>
                <w:szCs w:val="24"/>
                <w:lang w:eastAsia="es-CO"/>
              </w:rPr>
            </w:pPr>
          </w:p>
        </w:tc>
        <w:tc>
          <w:tcPr>
            <w:tcW w:w="0" w:type="auto"/>
            <w:vAlign w:val="center"/>
          </w:tcPr>
          <w:p w:rsidR="00CE4C47" w:rsidRPr="00CE4C47" w:rsidRDefault="00CE4C47" w:rsidP="00CE4C47">
            <w:pPr>
              <w:jc w:val="both"/>
              <w:rPr>
                <w:rStyle w:val="nfasissutil"/>
                <w:rFonts w:cstheme="minorHAnsi"/>
                <w:i w:val="0"/>
                <w:sz w:val="24"/>
                <w:szCs w:val="24"/>
                <w:lang w:eastAsia="es-CO"/>
              </w:rPr>
            </w:pPr>
          </w:p>
        </w:tc>
      </w:tr>
    </w:tbl>
    <w:p w:rsidR="00CE4C47" w:rsidRPr="00CE4C47" w:rsidRDefault="00CE4C47" w:rsidP="00CE4C47">
      <w:pPr>
        <w:jc w:val="both"/>
        <w:rPr>
          <w:rStyle w:val="nfasissutil"/>
          <w:rFonts w:cstheme="minorHAnsi"/>
          <w:i w:val="0"/>
          <w:sz w:val="24"/>
          <w:szCs w:val="24"/>
          <w:lang w:eastAsia="es-CO"/>
        </w:rPr>
      </w:pPr>
    </w:p>
    <w:p w:rsidR="00CE4C47" w:rsidRPr="00CE4C47" w:rsidRDefault="00CE4C47" w:rsidP="00CE4C47">
      <w:pPr>
        <w:jc w:val="both"/>
        <w:rPr>
          <w:rStyle w:val="nfasissutil"/>
          <w:rFonts w:cstheme="minorHAnsi"/>
          <w:i w:val="0"/>
          <w:sz w:val="24"/>
          <w:szCs w:val="24"/>
          <w:lang w:eastAsia="es-CO"/>
        </w:rPr>
      </w:pPr>
      <w:proofErr w:type="spellStart"/>
      <w:r w:rsidRPr="00CE4C47">
        <w:rPr>
          <w:rStyle w:val="nfasissutil"/>
          <w:rFonts w:cstheme="minorHAnsi"/>
          <w:i w:val="0"/>
          <w:sz w:val="24"/>
          <w:szCs w:val="24"/>
          <w:lang w:eastAsia="es-CO"/>
        </w:rPr>
        <w:t>Checklist</w:t>
      </w:r>
      <w:proofErr w:type="spellEnd"/>
    </w:p>
    <w:p w:rsidR="00CE4C47" w:rsidRPr="00CE4C47" w:rsidRDefault="00CE4C47" w:rsidP="00CE4C47">
      <w:pPr>
        <w:jc w:val="both"/>
        <w:rPr>
          <w:rStyle w:val="nfasissutil"/>
          <w:rFonts w:cstheme="minorHAnsi"/>
          <w:i w:val="0"/>
          <w:sz w:val="24"/>
          <w:szCs w:val="24"/>
          <w:lang w:eastAsia="es-CO"/>
        </w:rPr>
      </w:pPr>
      <w:proofErr w:type="gramStart"/>
      <w:r w:rsidRPr="00CE4C47">
        <w:rPr>
          <w:rStyle w:val="nfasissutil"/>
          <w:rFonts w:cstheme="minorHAnsi"/>
          <w:i w:val="0"/>
          <w:sz w:val="24"/>
          <w:szCs w:val="24"/>
          <w:lang w:eastAsia="es-CO"/>
        </w:rPr>
        <w:t>  ¿</w:t>
      </w:r>
      <w:proofErr w:type="gramEnd"/>
      <w:r w:rsidRPr="00CE4C47">
        <w:rPr>
          <w:rStyle w:val="nfasissutil"/>
          <w:rFonts w:cstheme="minorHAnsi"/>
          <w:i w:val="0"/>
          <w:sz w:val="24"/>
          <w:szCs w:val="24"/>
          <w:lang w:eastAsia="es-CO"/>
        </w:rPr>
        <w:t xml:space="preserve">Se identifican comunidades indígenas, afrodescendientes o campesinas en el área de análisis? </w:t>
      </w:r>
    </w:p>
    <w:p w:rsidR="00CE4C47" w:rsidRPr="00CE4C47" w:rsidRDefault="00CE4C47" w:rsidP="00CE4C47">
      <w:pPr>
        <w:jc w:val="both"/>
        <w:rPr>
          <w:rStyle w:val="nfasissutil"/>
          <w:rFonts w:cstheme="minorHAnsi"/>
          <w:i w:val="0"/>
          <w:sz w:val="24"/>
          <w:szCs w:val="24"/>
          <w:lang w:eastAsia="es-CO"/>
        </w:rPr>
      </w:pPr>
      <w:proofErr w:type="gramStart"/>
      <w:r w:rsidRPr="00CE4C47">
        <w:rPr>
          <w:rStyle w:val="nfasissutil"/>
          <w:rFonts w:cstheme="minorHAnsi"/>
          <w:i w:val="0"/>
          <w:sz w:val="24"/>
          <w:szCs w:val="24"/>
          <w:lang w:eastAsia="es-CO"/>
        </w:rPr>
        <w:t>  ¿</w:t>
      </w:r>
      <w:proofErr w:type="gramEnd"/>
      <w:r w:rsidRPr="00CE4C47">
        <w:rPr>
          <w:rStyle w:val="nfasissutil"/>
          <w:rFonts w:cstheme="minorHAnsi"/>
          <w:i w:val="0"/>
          <w:sz w:val="24"/>
          <w:szCs w:val="24"/>
          <w:lang w:eastAsia="es-CO"/>
        </w:rPr>
        <w:t xml:space="preserve">Se reconocen territorios colectivos o áreas de especial interés ambiental? </w:t>
      </w:r>
    </w:p>
    <w:p w:rsidR="00CE4C47" w:rsidRPr="00CE4C47" w:rsidRDefault="00CE4C47" w:rsidP="00CE4C47">
      <w:pPr>
        <w:jc w:val="both"/>
        <w:rPr>
          <w:rStyle w:val="nfasissutil"/>
          <w:rFonts w:cstheme="minorHAnsi"/>
          <w:i w:val="0"/>
          <w:sz w:val="24"/>
          <w:szCs w:val="24"/>
          <w:lang w:eastAsia="es-CO"/>
        </w:rPr>
      </w:pPr>
      <w:proofErr w:type="gramStart"/>
      <w:r w:rsidRPr="00CE4C47">
        <w:rPr>
          <w:rStyle w:val="nfasissutil"/>
          <w:rFonts w:cstheme="minorHAnsi"/>
          <w:i w:val="0"/>
          <w:sz w:val="24"/>
          <w:szCs w:val="24"/>
          <w:lang w:eastAsia="es-CO"/>
        </w:rPr>
        <w:t>  ¿</w:t>
      </w:r>
      <w:proofErr w:type="gramEnd"/>
      <w:r w:rsidRPr="00CE4C47">
        <w:rPr>
          <w:rStyle w:val="nfasissutil"/>
          <w:rFonts w:cstheme="minorHAnsi"/>
          <w:i w:val="0"/>
          <w:sz w:val="24"/>
          <w:szCs w:val="24"/>
          <w:lang w:eastAsia="es-CO"/>
        </w:rPr>
        <w:t xml:space="preserve">Se identifican posibles impactos de actividades minero-energéticas sobre medios de vida? </w:t>
      </w:r>
    </w:p>
    <w:p w:rsidR="00CE4C47" w:rsidRPr="00CE4C47" w:rsidRDefault="00CE4C47" w:rsidP="00CE4C47">
      <w:pPr>
        <w:jc w:val="both"/>
        <w:rPr>
          <w:rStyle w:val="nfasissutil"/>
          <w:rFonts w:cstheme="minorHAnsi"/>
          <w:i w:val="0"/>
          <w:sz w:val="24"/>
          <w:szCs w:val="24"/>
          <w:lang w:eastAsia="es-CO"/>
        </w:rPr>
      </w:pPr>
      <w:proofErr w:type="gramStart"/>
      <w:r w:rsidRPr="00CE4C47">
        <w:rPr>
          <w:rStyle w:val="nfasissutil"/>
          <w:rFonts w:cstheme="minorHAnsi"/>
          <w:i w:val="0"/>
          <w:sz w:val="24"/>
          <w:szCs w:val="24"/>
          <w:lang w:eastAsia="es-CO"/>
        </w:rPr>
        <w:t>  ¿</w:t>
      </w:r>
      <w:proofErr w:type="gramEnd"/>
      <w:r w:rsidRPr="00CE4C47">
        <w:rPr>
          <w:rStyle w:val="nfasissutil"/>
          <w:rFonts w:cstheme="minorHAnsi"/>
          <w:i w:val="0"/>
          <w:sz w:val="24"/>
          <w:szCs w:val="24"/>
          <w:lang w:eastAsia="es-CO"/>
        </w:rPr>
        <w:t xml:space="preserve">Se incluyen variables relacionadas con uso del suelo y recursos naturales? </w:t>
      </w:r>
    </w:p>
    <w:p w:rsidR="00CE4C47" w:rsidRPr="00CE4C47" w:rsidRDefault="00CE4C47" w:rsidP="00CE4C47">
      <w:pPr>
        <w:jc w:val="both"/>
        <w:rPr>
          <w:rStyle w:val="nfasissutil"/>
          <w:rFonts w:cstheme="minorHAnsi"/>
          <w:i w:val="0"/>
          <w:sz w:val="24"/>
          <w:szCs w:val="24"/>
          <w:lang w:eastAsia="es-CO"/>
        </w:rPr>
      </w:pPr>
      <w:proofErr w:type="gramStart"/>
      <w:r w:rsidRPr="00CE4C47">
        <w:rPr>
          <w:rStyle w:val="nfasissutil"/>
          <w:rFonts w:cstheme="minorHAnsi"/>
          <w:i w:val="0"/>
          <w:sz w:val="24"/>
          <w:szCs w:val="24"/>
          <w:lang w:eastAsia="es-CO"/>
        </w:rPr>
        <w:t>  ¿</w:t>
      </w:r>
      <w:proofErr w:type="gramEnd"/>
      <w:r w:rsidRPr="00CE4C47">
        <w:rPr>
          <w:rStyle w:val="nfasissutil"/>
          <w:rFonts w:cstheme="minorHAnsi"/>
          <w:i w:val="0"/>
          <w:sz w:val="24"/>
          <w:szCs w:val="24"/>
          <w:lang w:eastAsia="es-CO"/>
        </w:rPr>
        <w:t xml:space="preserve">Se identifica la necesidad de consulta previa como variable de análisis? </w:t>
      </w:r>
    </w:p>
    <w:p w:rsidR="00CE4C47" w:rsidRPr="00CE4C47" w:rsidRDefault="00CE4C47" w:rsidP="00CE4C47">
      <w:pPr>
        <w:jc w:val="both"/>
        <w:rPr>
          <w:rStyle w:val="nfasissutil"/>
          <w:rFonts w:cstheme="minorHAnsi"/>
          <w:i w:val="0"/>
          <w:sz w:val="24"/>
          <w:szCs w:val="24"/>
          <w:lang w:eastAsia="es-CO"/>
        </w:rPr>
      </w:pPr>
      <w:proofErr w:type="gramStart"/>
      <w:r w:rsidRPr="00CE4C47">
        <w:rPr>
          <w:rStyle w:val="nfasissutil"/>
          <w:rFonts w:cstheme="minorHAnsi"/>
          <w:i w:val="0"/>
          <w:sz w:val="24"/>
          <w:szCs w:val="24"/>
          <w:lang w:eastAsia="es-CO"/>
        </w:rPr>
        <w:t>  ¿</w:t>
      </w:r>
      <w:proofErr w:type="gramEnd"/>
      <w:r w:rsidRPr="00CE4C47">
        <w:rPr>
          <w:rStyle w:val="nfasissutil"/>
          <w:rFonts w:cstheme="minorHAnsi"/>
          <w:i w:val="0"/>
          <w:sz w:val="24"/>
          <w:szCs w:val="24"/>
          <w:lang w:eastAsia="es-CO"/>
        </w:rPr>
        <w:t>Se reconocen posibles impactos diferenciados en mujeres y roles de cuidado?</w:t>
      </w: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Fase 3. Seguimiento (Meses 4–5)</w:t>
      </w:r>
    </w:p>
    <w:p w:rsidR="00CE4C47" w:rsidRPr="008E35A6" w:rsidRDefault="00CE4C47" w:rsidP="008E35A6">
      <w:pPr>
        <w:pStyle w:val="Prrafodelista"/>
        <w:numPr>
          <w:ilvl w:val="0"/>
          <w:numId w:val="19"/>
        </w:numPr>
        <w:jc w:val="both"/>
        <w:rPr>
          <w:rStyle w:val="nfasissutil"/>
          <w:rFonts w:cstheme="minorHAnsi"/>
          <w:i w:val="0"/>
          <w:sz w:val="24"/>
          <w:szCs w:val="24"/>
          <w:lang w:eastAsia="es-CO"/>
        </w:rPr>
      </w:pPr>
      <w:r w:rsidRPr="008E35A6">
        <w:rPr>
          <w:rStyle w:val="nfasissutil"/>
          <w:rFonts w:cstheme="minorHAnsi"/>
          <w:i w:val="0"/>
          <w:sz w:val="24"/>
          <w:szCs w:val="24"/>
          <w:lang w:eastAsia="es-CO"/>
        </w:rPr>
        <w:t xml:space="preserve">evaluación </w:t>
      </w:r>
    </w:p>
    <w:p w:rsidR="00CE4C47" w:rsidRPr="008E35A6" w:rsidRDefault="00CE4C47" w:rsidP="008E35A6">
      <w:pPr>
        <w:pStyle w:val="Prrafodelista"/>
        <w:numPr>
          <w:ilvl w:val="0"/>
          <w:numId w:val="19"/>
        </w:numPr>
        <w:jc w:val="both"/>
        <w:rPr>
          <w:rStyle w:val="nfasissutil"/>
          <w:rFonts w:cstheme="minorHAnsi"/>
          <w:i w:val="0"/>
          <w:sz w:val="24"/>
          <w:szCs w:val="24"/>
          <w:lang w:eastAsia="es-CO"/>
        </w:rPr>
      </w:pPr>
      <w:r w:rsidRPr="008E35A6">
        <w:rPr>
          <w:rStyle w:val="nfasissutil"/>
          <w:rFonts w:cstheme="minorHAnsi"/>
          <w:i w:val="0"/>
          <w:sz w:val="24"/>
          <w:szCs w:val="24"/>
          <w:lang w:eastAsia="es-CO"/>
        </w:rPr>
        <w:t xml:space="preserve">ajuste </w:t>
      </w:r>
    </w:p>
    <w:p w:rsidR="00CE4C47" w:rsidRPr="008E35A6" w:rsidRDefault="00CE4C47" w:rsidP="008E35A6">
      <w:pPr>
        <w:pStyle w:val="Prrafodelista"/>
        <w:numPr>
          <w:ilvl w:val="0"/>
          <w:numId w:val="19"/>
        </w:numPr>
        <w:jc w:val="both"/>
        <w:rPr>
          <w:rStyle w:val="nfasissutil"/>
          <w:rFonts w:cstheme="minorHAnsi"/>
          <w:i w:val="0"/>
          <w:sz w:val="24"/>
          <w:szCs w:val="24"/>
          <w:lang w:eastAsia="es-CO"/>
        </w:rPr>
      </w:pPr>
      <w:r w:rsidRPr="008E35A6">
        <w:rPr>
          <w:rStyle w:val="nfasissutil"/>
          <w:rFonts w:cstheme="minorHAnsi"/>
          <w:i w:val="0"/>
          <w:sz w:val="24"/>
          <w:szCs w:val="24"/>
          <w:lang w:eastAsia="es-CO"/>
        </w:rPr>
        <w:t xml:space="preserve">sistematización </w:t>
      </w:r>
    </w:p>
    <w:p w:rsidR="00CE4C47" w:rsidRPr="00CE4C47" w:rsidRDefault="00CE4C47" w:rsidP="00CE4C47">
      <w:pPr>
        <w:jc w:val="both"/>
        <w:rPr>
          <w:rStyle w:val="nfasissutil"/>
          <w:rFonts w:cstheme="minorHAnsi"/>
          <w:i w:val="0"/>
          <w:sz w:val="24"/>
          <w:szCs w:val="24"/>
          <w:lang w:eastAsia="es-CO"/>
        </w:rPr>
      </w:pP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rPr>
        <w:t>8. Indicadores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96"/>
        <w:gridCol w:w="7092"/>
      </w:tblGrid>
      <w:tr w:rsidR="00CE4C47" w:rsidRPr="00CE4C47" w:rsidTr="00CE4C47">
        <w:trPr>
          <w:tblHeade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lastRenderedPageBreak/>
              <w:t>Tipo</w:t>
            </w:r>
          </w:p>
        </w:tc>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Indicador</w:t>
            </w:r>
          </w:p>
        </w:tc>
      </w:tr>
      <w:tr w:rsidR="00CE4C47" w:rsidRPr="00CE4C47" w:rsidTr="00CE4C47">
        <w:trP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Aplicación</w:t>
            </w:r>
          </w:p>
        </w:tc>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 de documentos del sector minero-energético con enfoque diferencial</w:t>
            </w:r>
          </w:p>
        </w:tc>
      </w:tr>
      <w:tr w:rsidR="00CE4C47" w:rsidRPr="00CE4C47" w:rsidTr="00CE4C47">
        <w:trP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Territorial</w:t>
            </w:r>
          </w:p>
        </w:tc>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 que identifican comunidades étnicas o campesinas</w:t>
            </w:r>
          </w:p>
        </w:tc>
      </w:tr>
      <w:tr w:rsidR="00CE4C47" w:rsidRPr="00CE4C47" w:rsidTr="00CE4C47">
        <w:trP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Impactos</w:t>
            </w:r>
          </w:p>
        </w:tc>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 xml:space="preserve">% que incluyen análisis de impactos </w:t>
            </w:r>
            <w:proofErr w:type="spellStart"/>
            <w:r w:rsidRPr="00CE4C47">
              <w:rPr>
                <w:rStyle w:val="nfasissutil"/>
                <w:rFonts w:cstheme="minorHAnsi"/>
                <w:i w:val="0"/>
                <w:sz w:val="24"/>
                <w:szCs w:val="24"/>
                <w:lang w:eastAsia="es-CO"/>
              </w:rPr>
              <w:t>socioambientales</w:t>
            </w:r>
            <w:proofErr w:type="spellEnd"/>
          </w:p>
        </w:tc>
      </w:tr>
      <w:tr w:rsidR="00CE4C47" w:rsidRPr="00CE4C47" w:rsidTr="00CE4C47">
        <w:trP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Calidad</w:t>
            </w:r>
          </w:p>
        </w:tc>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 que incorporan variables de uso del suelo y recursos naturales</w:t>
            </w:r>
          </w:p>
        </w:tc>
      </w:tr>
    </w:tbl>
    <w:p w:rsidR="00CE4C47" w:rsidRPr="00CE4C47" w:rsidRDefault="00CE4C47" w:rsidP="00CE4C47">
      <w:pPr>
        <w:jc w:val="both"/>
        <w:rPr>
          <w:rStyle w:val="nfasissutil"/>
          <w:rFonts w:cstheme="minorHAnsi"/>
          <w:i w:val="0"/>
          <w:sz w:val="24"/>
          <w:szCs w:val="24"/>
        </w:rPr>
      </w:pP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9. Cronograma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19"/>
        <w:gridCol w:w="916"/>
        <w:gridCol w:w="1515"/>
      </w:tblGrid>
      <w:tr w:rsidR="00CE4C47" w:rsidRPr="00CE4C47" w:rsidTr="008E35A6">
        <w:trPr>
          <w:tblHeade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Fase</w:t>
            </w:r>
          </w:p>
        </w:tc>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Tiempo</w:t>
            </w:r>
          </w:p>
        </w:tc>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Responsable</w:t>
            </w:r>
          </w:p>
        </w:tc>
      </w:tr>
      <w:tr w:rsidR="00CE4C47" w:rsidRPr="00CE4C47" w:rsidTr="008E35A6">
        <w:trP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Diagnóstico</w:t>
            </w:r>
          </w:p>
        </w:tc>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Mes 1</w:t>
            </w:r>
          </w:p>
        </w:tc>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Equipo género</w:t>
            </w:r>
          </w:p>
        </w:tc>
      </w:tr>
      <w:tr w:rsidR="00CE4C47" w:rsidRPr="00CE4C47" w:rsidTr="008E35A6">
        <w:trP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Aplicación</w:t>
            </w:r>
          </w:p>
        </w:tc>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Mes 2–3</w:t>
            </w:r>
          </w:p>
        </w:tc>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Territorial</w:t>
            </w:r>
          </w:p>
        </w:tc>
      </w:tr>
      <w:tr w:rsidR="00CE4C47" w:rsidRPr="00CE4C47" w:rsidTr="008E35A6">
        <w:trPr>
          <w:tblCellSpacing w:w="15" w:type="dxa"/>
        </w:trPr>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Seguimiento</w:t>
            </w:r>
          </w:p>
        </w:tc>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Mes 4–5</w:t>
            </w:r>
          </w:p>
        </w:tc>
        <w:tc>
          <w:tcPr>
            <w:tcW w:w="0" w:type="auto"/>
            <w:vAlign w:val="center"/>
            <w:hideMark/>
          </w:tcPr>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UPME</w:t>
            </w:r>
          </w:p>
        </w:tc>
      </w:tr>
    </w:tbl>
    <w:p w:rsidR="00CE4C47" w:rsidRPr="00CE4C47" w:rsidRDefault="00CE4C47" w:rsidP="00CE4C47">
      <w:pPr>
        <w:jc w:val="both"/>
        <w:rPr>
          <w:rStyle w:val="nfasissutil"/>
          <w:rFonts w:cstheme="minorHAnsi"/>
          <w:i w:val="0"/>
          <w:sz w:val="24"/>
          <w:szCs w:val="24"/>
          <w:lang w:eastAsia="es-CO"/>
        </w:rPr>
      </w:pP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10. Barreras</w:t>
      </w:r>
    </w:p>
    <w:p w:rsidR="00CE4C47" w:rsidRPr="008E35A6" w:rsidRDefault="00CE4C47" w:rsidP="008E35A6">
      <w:pPr>
        <w:pStyle w:val="Prrafodelista"/>
        <w:numPr>
          <w:ilvl w:val="0"/>
          <w:numId w:val="20"/>
        </w:numPr>
        <w:jc w:val="both"/>
        <w:rPr>
          <w:rStyle w:val="nfasissutil"/>
          <w:rFonts w:cstheme="minorHAnsi"/>
          <w:i w:val="0"/>
          <w:sz w:val="24"/>
          <w:szCs w:val="24"/>
          <w:lang w:eastAsia="es-CO"/>
        </w:rPr>
      </w:pPr>
      <w:r w:rsidRPr="008E35A6">
        <w:rPr>
          <w:rStyle w:val="nfasissutil"/>
          <w:rFonts w:cstheme="minorHAnsi"/>
          <w:i w:val="0"/>
          <w:sz w:val="24"/>
          <w:szCs w:val="24"/>
          <w:lang w:eastAsia="es-CO"/>
        </w:rPr>
        <w:t xml:space="preserve">desconocimiento </w:t>
      </w:r>
    </w:p>
    <w:p w:rsidR="00CE4C47" w:rsidRPr="008E35A6" w:rsidRDefault="00CE4C47" w:rsidP="008E35A6">
      <w:pPr>
        <w:pStyle w:val="Prrafodelista"/>
        <w:numPr>
          <w:ilvl w:val="0"/>
          <w:numId w:val="20"/>
        </w:numPr>
        <w:jc w:val="both"/>
        <w:rPr>
          <w:rStyle w:val="nfasissutil"/>
          <w:rFonts w:cstheme="minorHAnsi"/>
          <w:i w:val="0"/>
          <w:sz w:val="24"/>
          <w:szCs w:val="24"/>
          <w:lang w:eastAsia="es-CO"/>
        </w:rPr>
      </w:pPr>
      <w:r w:rsidRPr="008E35A6">
        <w:rPr>
          <w:rStyle w:val="nfasissutil"/>
          <w:rFonts w:cstheme="minorHAnsi"/>
          <w:i w:val="0"/>
          <w:sz w:val="24"/>
          <w:szCs w:val="24"/>
          <w:lang w:eastAsia="es-CO"/>
        </w:rPr>
        <w:t xml:space="preserve">dificultad técnica </w:t>
      </w:r>
    </w:p>
    <w:p w:rsidR="00CE4C47" w:rsidRPr="008E35A6" w:rsidRDefault="00CE4C47" w:rsidP="008E35A6">
      <w:pPr>
        <w:pStyle w:val="Prrafodelista"/>
        <w:numPr>
          <w:ilvl w:val="0"/>
          <w:numId w:val="20"/>
        </w:numPr>
        <w:jc w:val="both"/>
        <w:rPr>
          <w:rStyle w:val="nfasissutil"/>
          <w:rFonts w:cstheme="minorHAnsi"/>
          <w:i w:val="0"/>
          <w:sz w:val="24"/>
          <w:szCs w:val="24"/>
          <w:lang w:eastAsia="es-CO"/>
        </w:rPr>
      </w:pPr>
      <w:r w:rsidRPr="008E35A6">
        <w:rPr>
          <w:rStyle w:val="nfasissutil"/>
          <w:rFonts w:cstheme="minorHAnsi"/>
          <w:i w:val="0"/>
          <w:sz w:val="24"/>
          <w:szCs w:val="24"/>
          <w:lang w:eastAsia="es-CO"/>
        </w:rPr>
        <w:t xml:space="preserve">limitaciones de tiempo </w:t>
      </w:r>
    </w:p>
    <w:p w:rsidR="00CE4C47" w:rsidRPr="008E35A6" w:rsidRDefault="00CE4C47" w:rsidP="008E35A6">
      <w:pPr>
        <w:pStyle w:val="Prrafodelista"/>
        <w:numPr>
          <w:ilvl w:val="0"/>
          <w:numId w:val="20"/>
        </w:numPr>
        <w:jc w:val="both"/>
        <w:rPr>
          <w:rStyle w:val="nfasissutil"/>
          <w:rFonts w:cstheme="minorHAnsi"/>
          <w:i w:val="0"/>
          <w:sz w:val="24"/>
          <w:szCs w:val="24"/>
          <w:lang w:eastAsia="es-CO"/>
        </w:rPr>
      </w:pPr>
    </w:p>
    <w:p w:rsidR="00CE4C47" w:rsidRPr="00CE4C47" w:rsidRDefault="00CE4C47" w:rsidP="00CE4C47">
      <w:pPr>
        <w:jc w:val="both"/>
        <w:rPr>
          <w:rStyle w:val="nfasissutil"/>
          <w:rFonts w:cstheme="minorHAnsi"/>
          <w:i w:val="0"/>
          <w:sz w:val="24"/>
          <w:szCs w:val="24"/>
          <w:lang w:eastAsia="es-CO"/>
        </w:rPr>
      </w:pPr>
      <w:r w:rsidRPr="00CE4C47">
        <w:rPr>
          <w:rStyle w:val="nfasissutil"/>
          <w:rFonts w:cstheme="minorHAnsi"/>
          <w:i w:val="0"/>
          <w:sz w:val="24"/>
          <w:szCs w:val="24"/>
          <w:lang w:eastAsia="es-CO"/>
        </w:rPr>
        <w:t>11. Medidas</w:t>
      </w:r>
    </w:p>
    <w:p w:rsidR="00CE4C47" w:rsidRPr="008E35A6" w:rsidRDefault="00CE4C47" w:rsidP="008E35A6">
      <w:pPr>
        <w:pStyle w:val="Prrafodelista"/>
        <w:numPr>
          <w:ilvl w:val="0"/>
          <w:numId w:val="21"/>
        </w:numPr>
        <w:jc w:val="both"/>
        <w:rPr>
          <w:rStyle w:val="nfasissutil"/>
          <w:rFonts w:cstheme="minorHAnsi"/>
          <w:i w:val="0"/>
          <w:sz w:val="24"/>
          <w:szCs w:val="24"/>
          <w:lang w:eastAsia="es-CO"/>
        </w:rPr>
      </w:pPr>
      <w:r w:rsidRPr="008E35A6">
        <w:rPr>
          <w:rStyle w:val="nfasissutil"/>
          <w:rFonts w:cstheme="minorHAnsi"/>
          <w:i w:val="0"/>
          <w:sz w:val="24"/>
          <w:szCs w:val="24"/>
          <w:lang w:eastAsia="es-CO"/>
        </w:rPr>
        <w:t xml:space="preserve">formación </w:t>
      </w:r>
    </w:p>
    <w:p w:rsidR="00CE4C47" w:rsidRPr="008E35A6" w:rsidRDefault="00CE4C47" w:rsidP="008E35A6">
      <w:pPr>
        <w:pStyle w:val="Prrafodelista"/>
        <w:numPr>
          <w:ilvl w:val="0"/>
          <w:numId w:val="21"/>
        </w:numPr>
        <w:jc w:val="both"/>
        <w:rPr>
          <w:rStyle w:val="nfasissutil"/>
          <w:rFonts w:cstheme="minorHAnsi"/>
          <w:i w:val="0"/>
          <w:sz w:val="24"/>
          <w:szCs w:val="24"/>
          <w:lang w:eastAsia="es-CO"/>
        </w:rPr>
      </w:pPr>
      <w:r w:rsidRPr="008E35A6">
        <w:rPr>
          <w:rStyle w:val="nfasissutil"/>
          <w:rFonts w:cstheme="minorHAnsi"/>
          <w:i w:val="0"/>
          <w:sz w:val="24"/>
          <w:szCs w:val="24"/>
          <w:lang w:eastAsia="es-CO"/>
        </w:rPr>
        <w:t xml:space="preserve">acompañamiento </w:t>
      </w:r>
    </w:p>
    <w:p w:rsidR="00CE4C47" w:rsidRPr="008E35A6" w:rsidRDefault="00CE4C47" w:rsidP="008E35A6">
      <w:pPr>
        <w:pStyle w:val="Prrafodelista"/>
        <w:numPr>
          <w:ilvl w:val="0"/>
          <w:numId w:val="21"/>
        </w:numPr>
        <w:jc w:val="both"/>
        <w:rPr>
          <w:rStyle w:val="nfasissutil"/>
          <w:rFonts w:cstheme="minorHAnsi"/>
          <w:i w:val="0"/>
          <w:sz w:val="24"/>
          <w:szCs w:val="24"/>
          <w:lang w:eastAsia="es-CO"/>
        </w:rPr>
      </w:pPr>
      <w:r w:rsidRPr="008E35A6">
        <w:rPr>
          <w:rStyle w:val="nfasissutil"/>
          <w:rFonts w:cstheme="minorHAnsi"/>
          <w:i w:val="0"/>
          <w:sz w:val="24"/>
          <w:szCs w:val="24"/>
          <w:lang w:eastAsia="es-CO"/>
        </w:rPr>
        <w:t>ajustes</w:t>
      </w:r>
    </w:p>
    <w:p w:rsidR="00B231DF" w:rsidRPr="00CE4C47" w:rsidRDefault="00B231DF" w:rsidP="00CE4C47">
      <w:pPr>
        <w:jc w:val="both"/>
        <w:rPr>
          <w:rStyle w:val="nfasissutil"/>
          <w:rFonts w:cstheme="minorHAnsi"/>
          <w:i w:val="0"/>
          <w:sz w:val="24"/>
          <w:szCs w:val="24"/>
        </w:rPr>
      </w:pPr>
    </w:p>
    <w:sectPr w:rsidR="00B231DF" w:rsidRPr="00CE4C4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B1A93"/>
    <w:multiLevelType w:val="hybridMultilevel"/>
    <w:tmpl w:val="81F4D3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6E7620"/>
    <w:multiLevelType w:val="hybridMultilevel"/>
    <w:tmpl w:val="035EA4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BC1A21"/>
    <w:multiLevelType w:val="multilevel"/>
    <w:tmpl w:val="23AA9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CF46A9"/>
    <w:multiLevelType w:val="multilevel"/>
    <w:tmpl w:val="1E0C0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C275D"/>
    <w:multiLevelType w:val="hybridMultilevel"/>
    <w:tmpl w:val="C9509B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AF7270"/>
    <w:multiLevelType w:val="multilevel"/>
    <w:tmpl w:val="02ACD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092398"/>
    <w:multiLevelType w:val="multilevel"/>
    <w:tmpl w:val="8DEC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E6298D"/>
    <w:multiLevelType w:val="multilevel"/>
    <w:tmpl w:val="7042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DE3F0D"/>
    <w:multiLevelType w:val="multilevel"/>
    <w:tmpl w:val="483C7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175482"/>
    <w:multiLevelType w:val="multilevel"/>
    <w:tmpl w:val="9FF28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A77F3D"/>
    <w:multiLevelType w:val="multilevel"/>
    <w:tmpl w:val="3C54C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E3794C"/>
    <w:multiLevelType w:val="hybridMultilevel"/>
    <w:tmpl w:val="327057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A541971"/>
    <w:multiLevelType w:val="hybridMultilevel"/>
    <w:tmpl w:val="95C053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DC75907"/>
    <w:multiLevelType w:val="multilevel"/>
    <w:tmpl w:val="48763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947768"/>
    <w:multiLevelType w:val="multilevel"/>
    <w:tmpl w:val="3CDC2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DF68DD"/>
    <w:multiLevelType w:val="hybridMultilevel"/>
    <w:tmpl w:val="5EF8A9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3EC2A83"/>
    <w:multiLevelType w:val="hybridMultilevel"/>
    <w:tmpl w:val="3036E2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6830B0F"/>
    <w:multiLevelType w:val="hybridMultilevel"/>
    <w:tmpl w:val="EE2CA5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C170F79"/>
    <w:multiLevelType w:val="multilevel"/>
    <w:tmpl w:val="9F806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CF547A"/>
    <w:multiLevelType w:val="hybridMultilevel"/>
    <w:tmpl w:val="0E1221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987786F"/>
    <w:multiLevelType w:val="multilevel"/>
    <w:tmpl w:val="133AE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8"/>
  </w:num>
  <w:num w:numId="3">
    <w:abstractNumId w:val="2"/>
  </w:num>
  <w:num w:numId="4">
    <w:abstractNumId w:val="6"/>
  </w:num>
  <w:num w:numId="5">
    <w:abstractNumId w:val="13"/>
  </w:num>
  <w:num w:numId="6">
    <w:abstractNumId w:val="20"/>
  </w:num>
  <w:num w:numId="7">
    <w:abstractNumId w:val="9"/>
  </w:num>
  <w:num w:numId="8">
    <w:abstractNumId w:val="7"/>
  </w:num>
  <w:num w:numId="9">
    <w:abstractNumId w:val="14"/>
  </w:num>
  <w:num w:numId="10">
    <w:abstractNumId w:val="5"/>
  </w:num>
  <w:num w:numId="11">
    <w:abstractNumId w:val="3"/>
  </w:num>
  <w:num w:numId="12">
    <w:abstractNumId w:val="10"/>
  </w:num>
  <w:num w:numId="13">
    <w:abstractNumId w:val="19"/>
  </w:num>
  <w:num w:numId="14">
    <w:abstractNumId w:val="11"/>
  </w:num>
  <w:num w:numId="15">
    <w:abstractNumId w:val="17"/>
  </w:num>
  <w:num w:numId="16">
    <w:abstractNumId w:val="4"/>
  </w:num>
  <w:num w:numId="17">
    <w:abstractNumId w:val="1"/>
  </w:num>
  <w:num w:numId="18">
    <w:abstractNumId w:val="0"/>
  </w:num>
  <w:num w:numId="19">
    <w:abstractNumId w:val="15"/>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C47"/>
    <w:rsid w:val="008E35A6"/>
    <w:rsid w:val="00B231DF"/>
    <w:rsid w:val="00CE4C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CAF93"/>
  <w15:chartTrackingRefBased/>
  <w15:docId w15:val="{B555EB0C-919E-451C-897D-B8BFA3445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CE4C4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link w:val="Ttulo2Car"/>
    <w:uiPriority w:val="9"/>
    <w:qFormat/>
    <w:rsid w:val="00CE4C47"/>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link w:val="Ttulo3Car"/>
    <w:uiPriority w:val="9"/>
    <w:qFormat/>
    <w:rsid w:val="00CE4C47"/>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E4C47"/>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CE4C47"/>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rsid w:val="00CE4C47"/>
    <w:rPr>
      <w:rFonts w:ascii="Times New Roman" w:eastAsia="Times New Roman" w:hAnsi="Times New Roman" w:cs="Times New Roman"/>
      <w:b/>
      <w:bCs/>
      <w:sz w:val="27"/>
      <w:szCs w:val="27"/>
      <w:lang w:eastAsia="es-CO"/>
    </w:rPr>
  </w:style>
  <w:style w:type="character" w:styleId="Textoennegrita">
    <w:name w:val="Strong"/>
    <w:basedOn w:val="Fuentedeprrafopredeter"/>
    <w:uiPriority w:val="22"/>
    <w:qFormat/>
    <w:rsid w:val="00CE4C47"/>
    <w:rPr>
      <w:b/>
      <w:bCs/>
    </w:rPr>
  </w:style>
  <w:style w:type="paragraph" w:styleId="NormalWeb">
    <w:name w:val="Normal (Web)"/>
    <w:basedOn w:val="Normal"/>
    <w:uiPriority w:val="99"/>
    <w:semiHidden/>
    <w:unhideWhenUsed/>
    <w:rsid w:val="00CE4C4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nfasissutil">
    <w:name w:val="Subtle Emphasis"/>
    <w:basedOn w:val="Fuentedeprrafopredeter"/>
    <w:uiPriority w:val="19"/>
    <w:qFormat/>
    <w:rsid w:val="00CE4C47"/>
    <w:rPr>
      <w:i/>
      <w:iCs/>
      <w:color w:val="404040" w:themeColor="text1" w:themeTint="BF"/>
    </w:rPr>
  </w:style>
  <w:style w:type="paragraph" w:styleId="Prrafodelista">
    <w:name w:val="List Paragraph"/>
    <w:basedOn w:val="Normal"/>
    <w:uiPriority w:val="34"/>
    <w:qFormat/>
    <w:rsid w:val="00CE4C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57759">
      <w:bodyDiv w:val="1"/>
      <w:marLeft w:val="0"/>
      <w:marRight w:val="0"/>
      <w:marTop w:val="0"/>
      <w:marBottom w:val="0"/>
      <w:divBdr>
        <w:top w:val="none" w:sz="0" w:space="0" w:color="auto"/>
        <w:left w:val="none" w:sz="0" w:space="0" w:color="auto"/>
        <w:bottom w:val="none" w:sz="0" w:space="0" w:color="auto"/>
        <w:right w:val="none" w:sz="0" w:space="0" w:color="auto"/>
      </w:divBdr>
    </w:div>
    <w:div w:id="131871567">
      <w:bodyDiv w:val="1"/>
      <w:marLeft w:val="0"/>
      <w:marRight w:val="0"/>
      <w:marTop w:val="0"/>
      <w:marBottom w:val="0"/>
      <w:divBdr>
        <w:top w:val="none" w:sz="0" w:space="0" w:color="auto"/>
        <w:left w:val="none" w:sz="0" w:space="0" w:color="auto"/>
        <w:bottom w:val="none" w:sz="0" w:space="0" w:color="auto"/>
        <w:right w:val="none" w:sz="0" w:space="0" w:color="auto"/>
      </w:divBdr>
      <w:divsChild>
        <w:div w:id="643200165">
          <w:marLeft w:val="0"/>
          <w:marRight w:val="0"/>
          <w:marTop w:val="0"/>
          <w:marBottom w:val="0"/>
          <w:divBdr>
            <w:top w:val="none" w:sz="0" w:space="0" w:color="auto"/>
            <w:left w:val="none" w:sz="0" w:space="0" w:color="auto"/>
            <w:bottom w:val="none" w:sz="0" w:space="0" w:color="auto"/>
            <w:right w:val="none" w:sz="0" w:space="0" w:color="auto"/>
          </w:divBdr>
          <w:divsChild>
            <w:div w:id="1526091812">
              <w:marLeft w:val="0"/>
              <w:marRight w:val="0"/>
              <w:marTop w:val="0"/>
              <w:marBottom w:val="0"/>
              <w:divBdr>
                <w:top w:val="none" w:sz="0" w:space="0" w:color="auto"/>
                <w:left w:val="none" w:sz="0" w:space="0" w:color="auto"/>
                <w:bottom w:val="none" w:sz="0" w:space="0" w:color="auto"/>
                <w:right w:val="none" w:sz="0" w:space="0" w:color="auto"/>
              </w:divBdr>
            </w:div>
          </w:divsChild>
        </w:div>
        <w:div w:id="1529682748">
          <w:marLeft w:val="0"/>
          <w:marRight w:val="0"/>
          <w:marTop w:val="0"/>
          <w:marBottom w:val="0"/>
          <w:divBdr>
            <w:top w:val="none" w:sz="0" w:space="0" w:color="auto"/>
            <w:left w:val="none" w:sz="0" w:space="0" w:color="auto"/>
            <w:bottom w:val="none" w:sz="0" w:space="0" w:color="auto"/>
            <w:right w:val="none" w:sz="0" w:space="0" w:color="auto"/>
          </w:divBdr>
          <w:divsChild>
            <w:div w:id="1581528157">
              <w:marLeft w:val="0"/>
              <w:marRight w:val="0"/>
              <w:marTop w:val="0"/>
              <w:marBottom w:val="0"/>
              <w:divBdr>
                <w:top w:val="none" w:sz="0" w:space="0" w:color="auto"/>
                <w:left w:val="none" w:sz="0" w:space="0" w:color="auto"/>
                <w:bottom w:val="none" w:sz="0" w:space="0" w:color="auto"/>
                <w:right w:val="none" w:sz="0" w:space="0" w:color="auto"/>
              </w:divBdr>
            </w:div>
          </w:divsChild>
        </w:div>
        <w:div w:id="2126074130">
          <w:marLeft w:val="0"/>
          <w:marRight w:val="0"/>
          <w:marTop w:val="0"/>
          <w:marBottom w:val="0"/>
          <w:divBdr>
            <w:top w:val="none" w:sz="0" w:space="0" w:color="auto"/>
            <w:left w:val="none" w:sz="0" w:space="0" w:color="auto"/>
            <w:bottom w:val="none" w:sz="0" w:space="0" w:color="auto"/>
            <w:right w:val="none" w:sz="0" w:space="0" w:color="auto"/>
          </w:divBdr>
          <w:divsChild>
            <w:div w:id="122495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71304">
      <w:bodyDiv w:val="1"/>
      <w:marLeft w:val="0"/>
      <w:marRight w:val="0"/>
      <w:marTop w:val="0"/>
      <w:marBottom w:val="0"/>
      <w:divBdr>
        <w:top w:val="none" w:sz="0" w:space="0" w:color="auto"/>
        <w:left w:val="none" w:sz="0" w:space="0" w:color="auto"/>
        <w:bottom w:val="none" w:sz="0" w:space="0" w:color="auto"/>
        <w:right w:val="none" w:sz="0" w:space="0" w:color="auto"/>
      </w:divBdr>
    </w:div>
    <w:div w:id="232088745">
      <w:bodyDiv w:val="1"/>
      <w:marLeft w:val="0"/>
      <w:marRight w:val="0"/>
      <w:marTop w:val="0"/>
      <w:marBottom w:val="0"/>
      <w:divBdr>
        <w:top w:val="none" w:sz="0" w:space="0" w:color="auto"/>
        <w:left w:val="none" w:sz="0" w:space="0" w:color="auto"/>
        <w:bottom w:val="none" w:sz="0" w:space="0" w:color="auto"/>
        <w:right w:val="none" w:sz="0" w:space="0" w:color="auto"/>
      </w:divBdr>
      <w:divsChild>
        <w:div w:id="905411039">
          <w:marLeft w:val="0"/>
          <w:marRight w:val="0"/>
          <w:marTop w:val="0"/>
          <w:marBottom w:val="0"/>
          <w:divBdr>
            <w:top w:val="none" w:sz="0" w:space="0" w:color="auto"/>
            <w:left w:val="none" w:sz="0" w:space="0" w:color="auto"/>
            <w:bottom w:val="none" w:sz="0" w:space="0" w:color="auto"/>
            <w:right w:val="none" w:sz="0" w:space="0" w:color="auto"/>
          </w:divBdr>
          <w:divsChild>
            <w:div w:id="199996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770149">
      <w:bodyDiv w:val="1"/>
      <w:marLeft w:val="0"/>
      <w:marRight w:val="0"/>
      <w:marTop w:val="0"/>
      <w:marBottom w:val="0"/>
      <w:divBdr>
        <w:top w:val="none" w:sz="0" w:space="0" w:color="auto"/>
        <w:left w:val="none" w:sz="0" w:space="0" w:color="auto"/>
        <w:bottom w:val="none" w:sz="0" w:space="0" w:color="auto"/>
        <w:right w:val="none" w:sz="0" w:space="0" w:color="auto"/>
      </w:divBdr>
    </w:div>
    <w:div w:id="1202521090">
      <w:bodyDiv w:val="1"/>
      <w:marLeft w:val="0"/>
      <w:marRight w:val="0"/>
      <w:marTop w:val="0"/>
      <w:marBottom w:val="0"/>
      <w:divBdr>
        <w:top w:val="none" w:sz="0" w:space="0" w:color="auto"/>
        <w:left w:val="none" w:sz="0" w:space="0" w:color="auto"/>
        <w:bottom w:val="none" w:sz="0" w:space="0" w:color="auto"/>
        <w:right w:val="none" w:sz="0" w:space="0" w:color="auto"/>
      </w:divBdr>
    </w:div>
    <w:div w:id="1928730808">
      <w:bodyDiv w:val="1"/>
      <w:marLeft w:val="0"/>
      <w:marRight w:val="0"/>
      <w:marTop w:val="0"/>
      <w:marBottom w:val="0"/>
      <w:divBdr>
        <w:top w:val="none" w:sz="0" w:space="0" w:color="auto"/>
        <w:left w:val="none" w:sz="0" w:space="0" w:color="auto"/>
        <w:bottom w:val="none" w:sz="0" w:space="0" w:color="auto"/>
        <w:right w:val="none" w:sz="0" w:space="0" w:color="auto"/>
      </w:divBdr>
      <w:divsChild>
        <w:div w:id="1734622635">
          <w:marLeft w:val="0"/>
          <w:marRight w:val="0"/>
          <w:marTop w:val="0"/>
          <w:marBottom w:val="0"/>
          <w:divBdr>
            <w:top w:val="none" w:sz="0" w:space="0" w:color="auto"/>
            <w:left w:val="none" w:sz="0" w:space="0" w:color="auto"/>
            <w:bottom w:val="none" w:sz="0" w:space="0" w:color="auto"/>
            <w:right w:val="none" w:sz="0" w:space="0" w:color="auto"/>
          </w:divBdr>
          <w:divsChild>
            <w:div w:id="17215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26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1869</Words>
  <Characters>10281</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BIBIANA BERNAL OLAYA</dc:creator>
  <cp:keywords/>
  <dc:description/>
  <cp:lastModifiedBy>SANDRA BIBIANA BERNAL OLAYA</cp:lastModifiedBy>
  <cp:revision>1</cp:revision>
  <dcterms:created xsi:type="dcterms:W3CDTF">2026-05-06T22:28:00Z</dcterms:created>
  <dcterms:modified xsi:type="dcterms:W3CDTF">2026-05-06T22:43:00Z</dcterms:modified>
</cp:coreProperties>
</file>